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E0F52" w:rsidP="00D02298" w14:paraId="457AC367" w14:textId="11A723C8">
      <w:pPr>
        <w:pStyle w:val="NoSpacing"/>
        <w:spacing w:before="0"/>
        <w:jc w:val="center"/>
      </w:pPr>
    </w:p>
    <w:p w:rsidR="009E0F52" w:rsidP="00D02298" w14:paraId="7490DF08" w14:textId="4A08CF78">
      <w:pPr>
        <w:pStyle w:val="NoSpacing"/>
        <w:jc w:val="center"/>
      </w:pPr>
    </w:p>
    <w:p w:rsidR="004C6959" w:rsidP="00D02298" w14:paraId="4F0C1AA4" w14:textId="77777777">
      <w:pPr>
        <w:pStyle w:val="NoSpacing"/>
        <w:jc w:val="center"/>
      </w:pPr>
    </w:p>
    <w:p w:rsidR="009E0F52" w:rsidRPr="00AA576B" w:rsidP="009E0F52" w14:paraId="37F23A25" w14:textId="013D9648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E0F52" w:rsidRPr="00FF1DD2" w:rsidP="009E0F52" w14:paraId="62AD5C9B" w14:textId="2198C72D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13</w:t>
      </w:r>
      <w:r w:rsidRPr="00FF1DD2">
        <w:rPr>
          <w:b/>
          <w:color w:val="FF0000"/>
        </w:rPr>
        <w:t xml:space="preserve">.Hafta </w:t>
      </w:r>
    </w:p>
    <w:p w:rsidR="009E0F52" w:rsidP="009E0F52" w14:paraId="2FC684DF" w14:textId="51BB844B">
      <w:pPr>
        <w:pStyle w:val="NoSpacing"/>
        <w:jc w:val="center"/>
        <w:rPr>
          <w:b/>
        </w:rPr>
      </w:pPr>
      <w:r>
        <w:rPr>
          <w:b/>
        </w:rPr>
        <w:t>(</w:t>
      </w:r>
      <w:r w:rsidR="00331D88">
        <w:rPr>
          <w:b/>
        </w:rPr>
        <w:t xml:space="preserve">14-18 </w:t>
      </w:r>
      <w:r>
        <w:rPr>
          <w:b/>
        </w:rPr>
        <w:t xml:space="preserve"> ARALIK</w:t>
      </w:r>
      <w:r w:rsidR="00331D88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331D88" w:rsidP="009E0F52" w14:paraId="6AE2CB88" w14:textId="19A70616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00EBC40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3A94FE4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5C20BD4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FCB4E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59DD28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72A23A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4A414E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68BB012C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704C82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4242FAEB" w14:textId="71F65E0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C363D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MADDEYİ TANIYALIM, KARIŞTIRIP AYIRALIM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EA0DA5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BE62F8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4BB1F0A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928E3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0B5423E" w14:textId="327C04EE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Maddenin Katı, Sıvı ve Gaz Hâli</w:t>
            </w:r>
          </w:p>
        </w:tc>
      </w:tr>
      <w:tr w14:paraId="00D050B9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9A286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B15285" w:rsidRPr="00B15285" w:rsidP="00B15285" w14:paraId="7BE94B8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FB.3.4.1. Çevresindeki maddeleri hâllerine göre sınıflandırabilme</w:t>
            </w:r>
          </w:p>
          <w:p w:rsidR="00B15285" w:rsidRPr="00B15285" w:rsidP="00B15285" w14:paraId="400419D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Çevresindeki maddelerin niteliklerini tanımlar.</w:t>
            </w:r>
          </w:p>
          <w:p w:rsidR="00B15285" w:rsidRPr="00B15285" w:rsidP="00B15285" w14:paraId="786041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Çevresindeki maddeleri niteliklerine göre ayırır.</w:t>
            </w:r>
          </w:p>
          <w:p w:rsidR="00B15285" w:rsidRPr="00B15285" w:rsidP="00B15285" w14:paraId="1FB0F65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Çevresindeki maddeleri hâllerine göre gruplandırır.</w:t>
            </w:r>
          </w:p>
          <w:p w:rsidR="00C363D0" w:rsidRPr="00BF4032" w:rsidP="00B15285" w14:paraId="14B1B743" w14:textId="62E6909D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Maddeleri hâllerine göre katı, sıvı ve gaz olarak etiketler.</w:t>
            </w:r>
          </w:p>
        </w:tc>
      </w:tr>
      <w:tr w14:paraId="42FC9BD4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2B572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5F0691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565EC51A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6FF2F33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66AB2E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2E0501D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0CBC473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DF96DA6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1246E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3DACEC7E" w14:textId="1867452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SDB1.2. Kendini Düzenleme (Öz Düzenleme), SDB2.2. İş Birliği, SDB3.3. Sorumlu Karar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C363D0">
              <w:rPr>
                <w:rFonts w:ascii="Arial Narrow" w:hAnsi="Arial Narrow" w:cs="Tahoma"/>
                <w:sz w:val="20"/>
                <w:szCs w:val="20"/>
              </w:rPr>
              <w:t>Verme</w:t>
            </w:r>
          </w:p>
        </w:tc>
      </w:tr>
      <w:tr w14:paraId="5D408EB2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4F044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0905CB0" w14:textId="3136CFC3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D5. Duyarlılık, D12. Sabır, D16. Sorumluluk, D17. Tasarruf, D18. Temizlik</w:t>
            </w:r>
          </w:p>
        </w:tc>
      </w:tr>
      <w:tr w14:paraId="29287209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0AF3C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DBC3ACC" w14:textId="6CF3F95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C363D0">
              <w:rPr>
                <w:rFonts w:ascii="Arial Narrow" w:hAnsi="Arial Narrow" w:cs="Tahoma"/>
                <w:sz w:val="20"/>
                <w:szCs w:val="20"/>
              </w:rPr>
              <w:t>OB8. Sürdürülebilirlik Okuryazarlığı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, </w:t>
            </w:r>
          </w:p>
        </w:tc>
      </w:tr>
      <w:tr w14:paraId="670A236A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FAB99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B15285" w:rsidRPr="00B15285" w:rsidP="00B15285" w14:paraId="428F9262" w14:textId="0B6DB41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Öğrenme çıktılarının değerlendirilmesinde grup değerlendirme formu, V diyagramı, performans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Maddenin hâlleri keşfetme sürecinde oluşturulan grupların çalışmalarını değerlendirmek</w:t>
            </w:r>
          </w:p>
          <w:p w:rsidR="00C363D0" w:rsidRPr="00BF4032" w:rsidP="00B15285" w14:paraId="6D40B91B" w14:textId="23CA63C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için grup değerlendirme formu kullanılabilir. Karışımların ayrılmasına yönelik yapılan deney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çalışmasındaki süreçleri değerlendirmek için V Diyagramı kullanılabilir. Öğrencilere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atıkların ayrıştırılması için oluşturdukları problemin çözümüne yönelik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verilebilir. Tüm bu çalışmalar öğrencinin ürün dosyasına eklenebilir.</w:t>
            </w:r>
          </w:p>
        </w:tc>
      </w:tr>
      <w:tr w14:paraId="7EE41890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0AFD74D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B15285" w14:paraId="38786C6B" w14:textId="6F18C22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>katı, sıvı, gaz, karışım, eleme, süzme, dinlendirme, yüzdürme, mıknatısla ayırma, atık,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15285">
              <w:rPr>
                <w:rFonts w:ascii="Arial Narrow" w:hAnsi="Arial Narrow" w:cs="Tahoma"/>
                <w:sz w:val="20"/>
                <w:szCs w:val="20"/>
              </w:rPr>
              <w:t>ayrıştırma</w:t>
            </w:r>
          </w:p>
        </w:tc>
      </w:tr>
      <w:tr w14:paraId="06D91CB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0F8F486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20C9D2B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523054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B15285" w14:paraId="23279F07" w14:textId="53CAE98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farklı nesnelerin niteliklerini (sertlik, yumuşaklık, esneklik, kırılganlık, renk,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152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koku, tat, pürüzlü ve az pürüzlü) tahmin etmelerine yönelik etkinlik yaptırılabilir.</w:t>
            </w:r>
          </w:p>
        </w:tc>
      </w:tr>
      <w:tr w14:paraId="5B7BFC4D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78F65B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E1B78A5" w14:textId="39F82531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106-117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41739C" w:rsidP="00B15285" w14:paraId="0A37B59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çevrelerindeki maddeleri gözlemlemeleri ya da madde örneklerini sınıfa getirerek</w:t>
            </w:r>
            <w:r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gruplar hâlinde incelemeleri sağlanabilir. Gözlem veya inceleme sonrasında maddelerin</w:t>
            </w:r>
            <w:r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niteliklerini tanımlamaları sağlanır (SDB1.2). </w:t>
            </w:r>
            <w:r w:rsidRPr="00BF4032" w:rsidR="00B15285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="00B15285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Nitelikleri belirlerken merak ettikleri</w:t>
            </w:r>
            <w:r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soruları sormaları için öğrenciler teşvik edilebilir (E3.8). Maddeler incelenirken güvenlik</w:t>
            </w:r>
            <w:r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önlemlerini almaları konusunda gerekli açıklamalar yapılarak öğrencilere sorumluluk</w:t>
            </w:r>
            <w:r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verilir (SDB3.3, E2.2, </w:t>
            </w:r>
          </w:p>
          <w:p w:rsidR="0041739C" w:rsidP="00B15285" w14:paraId="6FBF453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belirledikleri niteliklere göre maddeleri ayırmaları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istenir (KB2.5). Ayrılan maddeleri hâllerine göre gruplandırmaları sağlanır (KB2.13,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SDB1.2). Gruplandırılan maddeleri katı, sıvı ve gaz hâlde olanlar şeklinde etiketlemeleri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istenir (KB2.4, SDB1.2). </w:t>
            </w:r>
          </w:p>
          <w:p w:rsidR="0041739C" w:rsidP="00B15285" w14:paraId="034B4CF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Ayrıştırma, gruplandırma ve etiketleme süreçlerinde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bilgiyi bilimsel ve sistematik bir yaklaşımla ele almaları, doğru bilgiyi ayırt etmeleri desteklenir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(E3.7, D3.2, D3.3). </w:t>
            </w:r>
          </w:p>
          <w:p w:rsidR="0041739C" w:rsidP="00B15285" w14:paraId="0D47618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Maddenin hâllerini keşfetme sürecinde grupların çalışmalarını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değerlendirmek için grup değerlendirme formu kullanılabilir. </w:t>
            </w:r>
          </w:p>
          <w:p w:rsidR="00C363D0" w:rsidRPr="00BF4032" w:rsidP="0041739C" w14:paraId="3FDB4F3F" w14:textId="4E1CB170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Maddenin hâllerine günlük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yaşamdan örnekler verilir fakat yapılarına (tanecikli, boşluklu yapı, tanecikler arası uzaklık,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 w:rsid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akışkanlık vb.) değinilmez.</w:t>
            </w:r>
          </w:p>
        </w:tc>
      </w:tr>
      <w:tr w14:paraId="750D39F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C363D0" w:rsidRPr="00BF4032" w:rsidP="00C363D0" w14:paraId="3E8AFC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C525AD9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17768C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BF4032" w:rsidP="00B15285" w14:paraId="39F44D9D" w14:textId="2A6D16B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sınıfta gözlemlenen maddeler dışında farklı maddelerin hâllerine ilişkin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tahminlerde bulunmaları ve çıkarım yapmaları 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Sınıfta yapılan deneyler dışında farklı karışım türlerini hangi yöntemlerle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ayırabileceklerini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araştırmaları istenebilir.</w:t>
            </w:r>
          </w:p>
        </w:tc>
      </w:tr>
      <w:tr w14:paraId="0882EF7C" w14:textId="77777777" w:rsidTr="0041739C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C363D0" w:rsidRPr="00BF4032" w:rsidP="00C363D0" w14:paraId="2E7416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C363D0" w:rsidRPr="007077C4" w:rsidP="00C363D0" w14:paraId="368ADE67" w14:textId="790F1E67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  <w:r w:rsidRPr="00B15285"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Deneyler sırasında yönerge verme veya gösterip yaptırma tekniği kullanılabilir.</w:t>
            </w:r>
          </w:p>
        </w:tc>
      </w:tr>
    </w:tbl>
    <w:p w:rsidR="009E0F52" w:rsidP="009E0F52" w14:paraId="6DE41B54" w14:textId="77777777">
      <w:pPr>
        <w:pStyle w:val="NoSpacing"/>
        <w:jc w:val="center"/>
      </w:pPr>
    </w:p>
    <w:p w:rsidR="009E0F52" w:rsidP="009E0F52" w14:paraId="68EDD620" w14:textId="77777777">
      <w:pPr>
        <w:pStyle w:val="NoSpacing"/>
        <w:rPr>
          <w:sz w:val="20"/>
          <w:szCs w:val="20"/>
        </w:rPr>
      </w:pPr>
    </w:p>
    <w:p w:rsidR="009E0F52" w:rsidP="009E0F52" w14:paraId="073C680A" w14:textId="27FC14E1">
      <w:pPr>
        <w:pStyle w:val="NoSpacing"/>
        <w:rPr>
          <w:sz w:val="20"/>
          <w:szCs w:val="20"/>
        </w:rPr>
      </w:pPr>
    </w:p>
    <w:p w:rsidR="00E0729D" w:rsidP="00167294" w14:paraId="11F8E1C5" w14:textId="1C41EE14">
      <w:pPr>
        <w:pStyle w:val="NoSpacing"/>
        <w:jc w:val="center"/>
        <w:rPr>
          <w:b/>
        </w:rPr>
      </w:pPr>
    </w:p>
    <w:p w:rsidR="00A21BED" w:rsidP="00167294" w14:paraId="28573B66" w14:textId="7326C9B5">
      <w:pPr>
        <w:pStyle w:val="NoSpacing"/>
        <w:jc w:val="center"/>
        <w:rPr>
          <w:b/>
        </w:rPr>
      </w:pPr>
    </w:p>
    <w:p w:rsidR="000B3985" w:rsidP="00167294" w14:paraId="32150B1B" w14:textId="2C655CB9">
      <w:pPr>
        <w:pStyle w:val="NoSpacing"/>
        <w:jc w:val="center"/>
        <w:rPr>
          <w:b/>
        </w:rPr>
      </w:pPr>
    </w:p>
    <w:sectPr w:rsidSect="00926B9C">
      <w:pgSz w:w="11906" w:h="16838"/>
      <w:pgMar w:top="284" w:right="284" w:bottom="284" w:left="284" w:header="284" w:footer="34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